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486"/>
      </w:tblGrid>
      <w:tr w:rsidR="0021141C" w:rsidRPr="004A112E" w14:paraId="1A9AD410" w14:textId="77777777" w:rsidTr="00D84A2C">
        <w:tc>
          <w:tcPr>
            <w:tcW w:w="3486" w:type="dxa"/>
          </w:tcPr>
          <w:p w14:paraId="73DF5C4F" w14:textId="4558D940" w:rsidR="0021141C" w:rsidRPr="004A112E" w:rsidRDefault="0021141C" w:rsidP="00D84A2C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b/>
                <w:sz w:val="18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8B070AD" wp14:editId="0E67F619">
                  <wp:extent cx="666750" cy="914400"/>
                  <wp:effectExtent l="0" t="0" r="0" b="0"/>
                  <wp:docPr id="120049210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53D21" w14:textId="77777777" w:rsidR="0021141C" w:rsidRPr="004A112E" w:rsidRDefault="0021141C" w:rsidP="00D84A2C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b/>
                <w:sz w:val="4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b/>
                <w:sz w:val="18"/>
                <w:szCs w:val="24"/>
                <w:lang w:eastAsia="hr-HR"/>
              </w:rPr>
              <w:t>REPUBLIKA HRVATSKA</w:t>
            </w:r>
          </w:p>
          <w:p w14:paraId="276713B3" w14:textId="77777777" w:rsidR="0021141C" w:rsidRPr="004A112E" w:rsidRDefault="0021141C" w:rsidP="00D84A2C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b/>
                <w:sz w:val="4"/>
                <w:szCs w:val="24"/>
                <w:lang w:eastAsia="hr-HR"/>
              </w:rPr>
            </w:pPr>
          </w:p>
          <w:p w14:paraId="386B8568" w14:textId="77777777" w:rsidR="0021141C" w:rsidRPr="004A112E" w:rsidRDefault="0021141C" w:rsidP="00D84A2C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b/>
                <w:sz w:val="18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b/>
                <w:sz w:val="18"/>
                <w:szCs w:val="24"/>
                <w:lang w:eastAsia="hr-HR"/>
              </w:rPr>
              <w:t>KRAPINSKO - ZAGORSKA ŽUPANIJA</w:t>
            </w:r>
          </w:p>
          <w:p w14:paraId="0FE9B649" w14:textId="77777777" w:rsidR="0021141C" w:rsidRPr="004A112E" w:rsidRDefault="0021141C" w:rsidP="00D84A2C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b/>
                <w:sz w:val="4"/>
                <w:szCs w:val="24"/>
                <w:lang w:eastAsia="hr-HR"/>
              </w:rPr>
            </w:pPr>
          </w:p>
          <w:p w14:paraId="1402B749" w14:textId="77777777" w:rsidR="0021141C" w:rsidRPr="004A112E" w:rsidRDefault="0021141C" w:rsidP="00D84A2C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sz w:val="18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sz w:val="18"/>
                <w:szCs w:val="24"/>
                <w:lang w:eastAsia="hr-HR"/>
              </w:rPr>
              <w:t>O P Ć I N A   N O V I   G O L U B O V E C</w:t>
            </w:r>
          </w:p>
          <w:p w14:paraId="473E17CD" w14:textId="77777777" w:rsidR="0021141C" w:rsidRPr="004A112E" w:rsidRDefault="0021141C" w:rsidP="00D84A2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6"/>
              <w:rPr>
                <w:rFonts w:ascii="CRO_Swiss-Normal" w:eastAsia="Times New Roman" w:hAnsi="CRO_Swiss-Normal" w:cs="Times New Roman"/>
                <w:bCs/>
                <w:lang w:val="de-DE" w:eastAsia="hr-HR"/>
              </w:rPr>
            </w:pPr>
            <w:proofErr w:type="spellStart"/>
            <w:r w:rsidRPr="004A112E">
              <w:rPr>
                <w:rFonts w:ascii="CRO_Swiss-Normal" w:eastAsia="Times New Roman" w:hAnsi="CRO_Swiss-Normal" w:cs="Times New Roman"/>
                <w:bCs/>
                <w:lang w:val="de-DE" w:eastAsia="hr-HR"/>
              </w:rPr>
              <w:t>Načelnik</w:t>
            </w:r>
            <w:proofErr w:type="spellEnd"/>
            <w:r w:rsidRPr="004A112E">
              <w:rPr>
                <w:rFonts w:ascii="CRO_Swiss-Normal" w:eastAsia="Times New Roman" w:hAnsi="CRO_Swiss-Normal" w:cs="Times New Roman"/>
                <w:bCs/>
                <w:lang w:val="de-DE" w:eastAsia="hr-HR"/>
              </w:rPr>
              <w:t xml:space="preserve"> </w:t>
            </w:r>
            <w:proofErr w:type="spellStart"/>
            <w:r w:rsidRPr="004A112E">
              <w:rPr>
                <w:rFonts w:ascii="CRO_Swiss-Normal" w:eastAsia="Times New Roman" w:hAnsi="CRO_Swiss-Normal" w:cs="Times New Roman"/>
                <w:bCs/>
                <w:lang w:val="de-DE" w:eastAsia="hr-HR"/>
              </w:rPr>
              <w:t>općine</w:t>
            </w:r>
            <w:proofErr w:type="spellEnd"/>
            <w:r w:rsidRPr="004A112E">
              <w:rPr>
                <w:rFonts w:ascii="CRO_Swiss-Normal" w:eastAsia="Times New Roman" w:hAnsi="CRO_Swiss-Normal" w:cs="Times New Roman"/>
                <w:bCs/>
                <w:lang w:val="de-DE" w:eastAsia="hr-HR"/>
              </w:rPr>
              <w:t xml:space="preserve">       </w:t>
            </w:r>
          </w:p>
          <w:p w14:paraId="3423FABA" w14:textId="77777777" w:rsidR="0021141C" w:rsidRPr="004A112E" w:rsidRDefault="0021141C" w:rsidP="00D84A2C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sz w:val="16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sz w:val="16"/>
                <w:szCs w:val="24"/>
                <w:lang w:eastAsia="hr-HR"/>
              </w:rPr>
              <w:t>Novi Golubovec 35, 49255 Novi Golubovec</w:t>
            </w:r>
          </w:p>
          <w:p w14:paraId="63567095" w14:textId="77777777" w:rsidR="0021141C" w:rsidRPr="004A112E" w:rsidRDefault="0021141C" w:rsidP="00D84A2C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sz w:val="16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sz w:val="16"/>
                <w:szCs w:val="24"/>
                <w:lang w:eastAsia="hr-HR"/>
              </w:rPr>
              <w:t>Tel/fax: 049/412-648</w:t>
            </w:r>
          </w:p>
          <w:p w14:paraId="0629FB1E" w14:textId="77777777" w:rsidR="0021141C" w:rsidRPr="004A112E" w:rsidRDefault="0021141C" w:rsidP="00D84A2C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sz w:val="16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sz w:val="16"/>
                <w:szCs w:val="24"/>
                <w:lang w:eastAsia="hr-HR"/>
              </w:rPr>
              <w:t xml:space="preserve">OIB:61688552243 </w:t>
            </w:r>
          </w:p>
          <w:p w14:paraId="13937276" w14:textId="77777777" w:rsidR="0021141C" w:rsidRPr="004A112E" w:rsidRDefault="0021141C" w:rsidP="00D84A2C">
            <w:pPr>
              <w:suppressAutoHyphens w:val="0"/>
              <w:spacing w:after="0" w:line="240" w:lineRule="auto"/>
              <w:jc w:val="center"/>
              <w:rPr>
                <w:rFonts w:ascii="CRO_Swiss-Normal" w:eastAsia="Times New Roman" w:hAnsi="CRO_Swiss-Normal" w:cs="Times New Roman"/>
                <w:sz w:val="18"/>
                <w:szCs w:val="24"/>
                <w:lang w:eastAsia="hr-HR"/>
              </w:rPr>
            </w:pPr>
            <w:r w:rsidRPr="004A112E">
              <w:rPr>
                <w:rFonts w:ascii="CRO_Swiss-Normal" w:eastAsia="Times New Roman" w:hAnsi="CRO_Swiss-Normal" w:cs="Times New Roman"/>
                <w:sz w:val="16"/>
                <w:szCs w:val="24"/>
                <w:lang w:eastAsia="hr-HR"/>
              </w:rPr>
              <w:t>Email: opcina-novi-golubovec@kr.t-com.hr</w:t>
            </w:r>
          </w:p>
        </w:tc>
      </w:tr>
      <w:tr w:rsidR="0021141C" w:rsidRPr="004A112E" w14:paraId="0E3890B6" w14:textId="77777777" w:rsidTr="00D84A2C">
        <w:tc>
          <w:tcPr>
            <w:tcW w:w="3486" w:type="dxa"/>
          </w:tcPr>
          <w:p w14:paraId="40C63052" w14:textId="77777777" w:rsidR="0021141C" w:rsidRPr="004A112E" w:rsidRDefault="0021141C" w:rsidP="00D84A2C">
            <w:pPr>
              <w:suppressAutoHyphens w:val="0"/>
              <w:spacing w:after="0" w:line="240" w:lineRule="auto"/>
              <w:rPr>
                <w:rFonts w:ascii="CRO_Swiss-Normal" w:eastAsia="Times New Roman" w:hAnsi="CRO_Swiss-Normal" w:cs="Times New Roman"/>
                <w:sz w:val="24"/>
                <w:szCs w:val="24"/>
                <w:lang w:eastAsia="hr-HR"/>
              </w:rPr>
            </w:pPr>
          </w:p>
        </w:tc>
      </w:tr>
    </w:tbl>
    <w:p w14:paraId="646BFDAC" w14:textId="6FE5258C" w:rsidR="0021141C" w:rsidRPr="00D94727" w:rsidRDefault="0021141C" w:rsidP="0021141C">
      <w:pPr>
        <w:pStyle w:val="Bezproreda"/>
        <w:rPr>
          <w:rFonts w:ascii="Times New Roman" w:hAnsi="Times New Roman" w:cs="Times New Roman"/>
          <w:lang w:eastAsia="hr-HR"/>
        </w:rPr>
      </w:pPr>
      <w:r w:rsidRPr="00D94727">
        <w:rPr>
          <w:rFonts w:ascii="Times New Roman" w:hAnsi="Times New Roman" w:cs="Times New Roman"/>
          <w:lang w:eastAsia="hr-HR"/>
        </w:rPr>
        <w:t>KLASA:</w:t>
      </w:r>
      <w:r w:rsidRPr="00D94727">
        <w:rPr>
          <w:rFonts w:ascii="Times New Roman" w:hAnsi="Times New Roman" w:cs="Times New Roman"/>
          <w:lang w:eastAsia="hr-HR"/>
        </w:rPr>
        <w:tab/>
        <w:t>400-06/2</w:t>
      </w:r>
      <w:r>
        <w:rPr>
          <w:rFonts w:ascii="Times New Roman" w:hAnsi="Times New Roman" w:cs="Times New Roman"/>
          <w:lang w:eastAsia="hr-HR"/>
        </w:rPr>
        <w:t>5</w:t>
      </w:r>
      <w:r w:rsidRPr="00D94727">
        <w:rPr>
          <w:rFonts w:ascii="Times New Roman" w:hAnsi="Times New Roman" w:cs="Times New Roman"/>
          <w:lang w:eastAsia="hr-HR"/>
        </w:rPr>
        <w:t>-01/</w:t>
      </w:r>
      <w:r w:rsidR="000272B1">
        <w:rPr>
          <w:rFonts w:ascii="Times New Roman" w:hAnsi="Times New Roman" w:cs="Times New Roman"/>
          <w:lang w:eastAsia="hr-HR"/>
        </w:rPr>
        <w:t>09</w:t>
      </w:r>
    </w:p>
    <w:p w14:paraId="1DEF9577" w14:textId="77777777" w:rsidR="0021141C" w:rsidRPr="00D94727" w:rsidRDefault="0021141C" w:rsidP="0021141C">
      <w:pPr>
        <w:pStyle w:val="Bezproreda"/>
        <w:rPr>
          <w:rFonts w:ascii="Times New Roman" w:hAnsi="Times New Roman" w:cs="Times New Roman"/>
          <w:lang w:eastAsia="hr-HR"/>
        </w:rPr>
      </w:pPr>
      <w:r w:rsidRPr="00D94727">
        <w:rPr>
          <w:rFonts w:ascii="Times New Roman" w:hAnsi="Times New Roman" w:cs="Times New Roman"/>
          <w:lang w:eastAsia="hr-HR"/>
        </w:rPr>
        <w:t>URBROJ:</w:t>
      </w:r>
      <w:r w:rsidRPr="00D94727"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>2140-24</w:t>
      </w:r>
      <w:r w:rsidRPr="00D94727">
        <w:rPr>
          <w:rFonts w:ascii="Times New Roman" w:hAnsi="Times New Roman" w:cs="Times New Roman"/>
          <w:lang w:eastAsia="hr-HR"/>
        </w:rPr>
        <w:t>-01-2</w:t>
      </w:r>
      <w:r>
        <w:rPr>
          <w:rFonts w:ascii="Times New Roman" w:hAnsi="Times New Roman" w:cs="Times New Roman"/>
          <w:lang w:eastAsia="hr-HR"/>
        </w:rPr>
        <w:t>5</w:t>
      </w:r>
      <w:r w:rsidRPr="00D94727">
        <w:rPr>
          <w:rFonts w:ascii="Times New Roman" w:hAnsi="Times New Roman" w:cs="Times New Roman"/>
          <w:lang w:eastAsia="hr-HR"/>
        </w:rPr>
        <w:t>-1</w:t>
      </w:r>
    </w:p>
    <w:p w14:paraId="0B45B1E0" w14:textId="37F164EE" w:rsidR="0021141C" w:rsidRPr="00D94727" w:rsidRDefault="0021141C" w:rsidP="0021141C">
      <w:pPr>
        <w:pStyle w:val="Bezproreda"/>
        <w:rPr>
          <w:rFonts w:ascii="Times New Roman" w:hAnsi="Times New Roman" w:cs="Times New Roman"/>
          <w:lang w:eastAsia="hr-HR"/>
        </w:rPr>
      </w:pPr>
      <w:r w:rsidRPr="00D94727">
        <w:rPr>
          <w:rFonts w:ascii="Times New Roman" w:hAnsi="Times New Roman" w:cs="Times New Roman"/>
          <w:lang w:eastAsia="hr-HR"/>
        </w:rPr>
        <w:t>NOVI GOLUBOVEC,</w:t>
      </w:r>
      <w:r w:rsidR="000272B1">
        <w:rPr>
          <w:rFonts w:ascii="Times New Roman" w:hAnsi="Times New Roman" w:cs="Times New Roman"/>
          <w:lang w:eastAsia="hr-HR"/>
        </w:rPr>
        <w:t xml:space="preserve"> 20.</w:t>
      </w:r>
      <w:r>
        <w:rPr>
          <w:rFonts w:ascii="Times New Roman" w:hAnsi="Times New Roman" w:cs="Times New Roman"/>
          <w:lang w:eastAsia="hr-HR"/>
        </w:rPr>
        <w:t>10</w:t>
      </w:r>
      <w:r w:rsidRPr="00D94727">
        <w:rPr>
          <w:rFonts w:ascii="Times New Roman" w:hAnsi="Times New Roman" w:cs="Times New Roman"/>
          <w:lang w:eastAsia="hr-HR"/>
        </w:rPr>
        <w:t>.202</w:t>
      </w:r>
      <w:r>
        <w:rPr>
          <w:rFonts w:ascii="Times New Roman" w:hAnsi="Times New Roman" w:cs="Times New Roman"/>
          <w:lang w:eastAsia="hr-HR"/>
        </w:rPr>
        <w:t>5</w:t>
      </w:r>
      <w:r w:rsidRPr="00D94727">
        <w:rPr>
          <w:rFonts w:ascii="Times New Roman" w:hAnsi="Times New Roman" w:cs="Times New Roman"/>
          <w:lang w:eastAsia="hr-HR"/>
        </w:rPr>
        <w:t>. god.</w:t>
      </w:r>
    </w:p>
    <w:p w14:paraId="0BC5A855" w14:textId="77777777" w:rsidR="0021141C" w:rsidRDefault="0021141C" w:rsidP="0021141C">
      <w:pPr>
        <w:pStyle w:val="Bezproreda"/>
        <w:rPr>
          <w:rFonts w:ascii="Times New Roman" w:hAnsi="Times New Roman" w:cs="Times New Roman"/>
          <w:lang w:eastAsia="hr-HR"/>
        </w:rPr>
      </w:pPr>
    </w:p>
    <w:p w14:paraId="38D78312" w14:textId="77777777" w:rsidR="0021141C" w:rsidRDefault="0021141C" w:rsidP="0021141C">
      <w:pPr>
        <w:spacing w:before="28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 sumještani Općine Novi Golubovec,</w:t>
      </w:r>
    </w:p>
    <w:p w14:paraId="3ECC1A3D" w14:textId="77777777" w:rsidR="0021141C" w:rsidRDefault="0021141C" w:rsidP="0021141C">
      <w:pPr>
        <w:spacing w:before="28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Kako bismo Vas informirali, te pružili jednostavniju sliku svega onoga što je zapravo Proračun, od čega se sastoji i što se iz njega sve financira pripremili smo ovaj osvrt, s ciljem da budemo što otvoreniji za sve Vas, te zbog same transparentnosti i dostupnosti podataka dajemo uvid u slijedeće informacije:</w:t>
      </w:r>
    </w:p>
    <w:p w14:paraId="371761B0" w14:textId="77777777" w:rsidR="0021141C" w:rsidRDefault="0021141C" w:rsidP="0021141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PRORAČUN</w:t>
      </w:r>
    </w:p>
    <w:p w14:paraId="170B7A60" w14:textId="77777777" w:rsidR="0021141C" w:rsidRDefault="0021141C" w:rsidP="0021141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je temeljni financijski dokument Općine Novi Golubovec koji utvrđuje plan financiranja svih aktivnosti i projekata za proračunsku, odnosno kalendarsku godinu. Proračun je akt kojim se procjenjuju prihodi i primici te rashodi i izdaci za jednu godinu. Uz proračun se donosi i projekcija ukupnih prihoda i primitaka te rashoda i izdataka za naredne dvije godine. Ukupna visina planiranih prihoda i raspoloživih sredstava iz prethodne godine mora pokrivati ukupnu visinu planiranih rashoda. Proračun kao i projekciju, na prijedlog Općinskog načelnika donosi predstavničko tijelo općine Novi Golubovec - Općinsko vijeće. Proračun Općine Novi Golubovec nakon donošenja objavljuje se u “Službenom glasniku Krapinsko-zagorske županije” te je dostupan na internet stranici Općine Novi Golubovec </w:t>
      </w:r>
      <w:hyperlink r:id="rId6" w:history="1">
        <w:r w:rsidRPr="00E232B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www.novi-golubovec.hr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E627BC2" w14:textId="77777777" w:rsidR="0021141C" w:rsidRDefault="0021141C" w:rsidP="0021141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3294E0" w14:textId="77777777" w:rsidR="0021141C" w:rsidRDefault="0021141C" w:rsidP="0021141C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sastoji od općeg i posebnog dijela. </w:t>
      </w:r>
    </w:p>
    <w:p w14:paraId="16860F39" w14:textId="77777777" w:rsidR="0021141C" w:rsidRDefault="0021141C" w:rsidP="0021141C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A) Prihode proračuna čine: </w:t>
      </w:r>
    </w:p>
    <w:p w14:paraId="3002B9E0" w14:textId="77777777" w:rsidR="0021141C" w:rsidRDefault="0021141C" w:rsidP="002114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porezi (porez na dohodak, porez na imovinu, porez na robu i usluge,</w:t>
      </w:r>
    </w:p>
    <w:p w14:paraId="73A19ABE" w14:textId="77777777" w:rsidR="0021141C" w:rsidRDefault="0021141C" w:rsidP="002114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iz inozemstva i od subjekata unutar općeg proračuna</w:t>
      </w:r>
    </w:p>
    <w:p w14:paraId="19BA5919" w14:textId="77777777" w:rsidR="0021141C" w:rsidRDefault="0021141C" w:rsidP="002114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imovine (zakupnine i najamnine, naknade za koncesije,</w:t>
      </w:r>
    </w:p>
    <w:p w14:paraId="1CF8C11E" w14:textId="77777777" w:rsidR="0021141C" w:rsidRDefault="0021141C" w:rsidP="002114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administrativnih pristojbi i naknada ( legalizacija, komunalni doprinos,  komunalna naknada,  vodni doprinos, doprinos za šume)</w:t>
      </w:r>
    </w:p>
    <w:p w14:paraId="0E1555BF" w14:textId="77777777" w:rsidR="0021141C" w:rsidRDefault="0021141C" w:rsidP="002114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prodaje proizvoda i pruženih usluga </w:t>
      </w:r>
    </w:p>
    <w:p w14:paraId="63873C8D" w14:textId="77777777" w:rsidR="0021141C" w:rsidRDefault="0021141C" w:rsidP="002114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prihodi</w:t>
      </w:r>
    </w:p>
    <w:p w14:paraId="562AE7F4" w14:textId="77777777" w:rsidR="0021141C" w:rsidRPr="009051CD" w:rsidRDefault="0021141C" w:rsidP="0021141C">
      <w:pPr>
        <w:numPr>
          <w:ilvl w:val="0"/>
          <w:numId w:val="1"/>
        </w:numPr>
        <w:spacing w:after="28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nefinancijske imovine </w:t>
      </w:r>
    </w:p>
    <w:p w14:paraId="471169B6" w14:textId="77777777" w:rsidR="0021141C" w:rsidRPr="009051CD" w:rsidRDefault="0021141C" w:rsidP="0021141C">
      <w:pPr>
        <w:spacing w:after="280" w:line="24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2113E71" w14:textId="77777777" w:rsidR="0021141C" w:rsidRDefault="0021141C" w:rsidP="0021141C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B) Rashodi poslovanja sastoje se od: </w:t>
      </w:r>
    </w:p>
    <w:p w14:paraId="6A9527ED" w14:textId="77777777" w:rsidR="0021141C" w:rsidRDefault="0021141C" w:rsidP="0021141C">
      <w:pPr>
        <w:numPr>
          <w:ilvl w:val="0"/>
          <w:numId w:val="1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rashoda za zaposlene</w:t>
      </w:r>
    </w:p>
    <w:p w14:paraId="772995C0" w14:textId="77777777" w:rsidR="0021141C" w:rsidRDefault="0021141C" w:rsidP="0021141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materijalnih rashoda ( naknade troškova zaposlenima, uredski materijal, energija, dijelovi za tekuće i investicijsko održavanje  javnih površina, poštarina, tekuće održavanje opreme i građevinskih objekata, tekuće i investicijsko održavanje cesta, rasvjete, komunalne usluge - odvoz smeća sa javnih površina, zdravstvene i veterinarske usluge, intelektualne i osobne usluge, računalne usluge, grafičke usluge, naknade troškova za javne radove, naknade za rad predstavničkih i izvršnih tijela, reprezentacija, članarine pristojbe i naknade, te ostale vrste rashoda - stručno osposobljavanje,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igraonica, javna vatrogasna postrojba, i sl.  </w:t>
      </w:r>
    </w:p>
    <w:p w14:paraId="1162D1C0" w14:textId="77777777" w:rsidR="0021141C" w:rsidRDefault="0021141C" w:rsidP="002114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rashodi (usluge platnog prometa,)</w:t>
      </w:r>
    </w:p>
    <w:p w14:paraId="171574EA" w14:textId="77777777" w:rsidR="0021141C" w:rsidRDefault="0021141C" w:rsidP="002114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subvencije za poduzetnike, poljoprivrednike (subvencija kamata na poduzetničke kredite,)</w:t>
      </w:r>
    </w:p>
    <w:p w14:paraId="2D32F765" w14:textId="77777777" w:rsidR="0021141C" w:rsidRDefault="0021141C" w:rsidP="002114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građanima i kućanstvima (jednokratne novčane pomoći, stipendije, poticaji obiteljima za novorođenu djecu, prijevozi učenika, sufinanciranje smještaja učenika u učeničkim domovima)</w:t>
      </w:r>
    </w:p>
    <w:p w14:paraId="1749B4FC" w14:textId="77777777" w:rsidR="0021141C" w:rsidRDefault="0021141C" w:rsidP="002114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ostali rashodi – sufinanciranje političkih stranaka, udruga, prijenosi sredstava DVD-u i Crvenom križu, sufinanciranje dječjih vrtića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čuvaonica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tekuće donacije za kulturu i sport , nabava udžbenika, tekuće donacije, kapitalne donacije</w:t>
      </w:r>
    </w:p>
    <w:p w14:paraId="01B0F27B" w14:textId="77777777" w:rsidR="0021141C" w:rsidRDefault="0021141C" w:rsidP="0021141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Rashodi za nabavu nefinancijske imovine: Uređenje doma Kulture; Dogradnja objekata na sportskom igralištu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Šterc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“;  Uređenje Društvenog doma u Velikoj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Veterničkoj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; Uređenje vatrogasnog doma; investicijsko održavanje cesta, željeznica i mostova; Izgradnja nogostupa, oborinske kanalizacije; Vodovodna mreža – lokalni razvod; Investicijsko održavanje ostalih kapitalnih objekata – rekonstrukcija niskonaponske mreže;  Izgradnja dječjeg igrališta; Uređenje poslovne zone; Uređenje centra Novog Golubovca;, Opremanje i osposobljavanje pripadnika civilne zaštite i DSZS.</w:t>
      </w:r>
    </w:p>
    <w:p w14:paraId="7C52FE5F" w14:textId="77777777" w:rsidR="0021141C" w:rsidRDefault="0021141C" w:rsidP="0021141C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 xml:space="preserve">Rashodi proračuna koji su unaprijed zadani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(zakonske obveze):</w:t>
      </w:r>
    </w:p>
    <w:p w14:paraId="16F56A5E" w14:textId="77777777" w:rsidR="0021141C" w:rsidRDefault="0021141C" w:rsidP="002114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predškolski odgoj</w:t>
      </w:r>
    </w:p>
    <w:p w14:paraId="5FFE5942" w14:textId="77777777" w:rsidR="0021141C" w:rsidRDefault="0021141C" w:rsidP="002114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socijalna skrb i zdravstvo</w:t>
      </w:r>
    </w:p>
    <w:p w14:paraId="3BB33343" w14:textId="77777777" w:rsidR="0021141C" w:rsidRDefault="0021141C" w:rsidP="002114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javne potrebe u kulturi i športu</w:t>
      </w:r>
    </w:p>
    <w:p w14:paraId="64C25599" w14:textId="77777777" w:rsidR="0021141C" w:rsidRDefault="0021141C" w:rsidP="002114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protupožarna i civilna zaštita</w:t>
      </w:r>
    </w:p>
    <w:p w14:paraId="0E5ABAA2" w14:textId="77777777" w:rsidR="0021141C" w:rsidRDefault="0021141C" w:rsidP="002114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komunalno gospodarstvo (održavanje i gradnja objekata)</w:t>
      </w:r>
    </w:p>
    <w:p w14:paraId="49B6897B" w14:textId="77777777" w:rsidR="0021141C" w:rsidRDefault="0021141C" w:rsidP="002114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 okoliša</w:t>
      </w:r>
    </w:p>
    <w:p w14:paraId="7AC50919" w14:textId="77777777" w:rsidR="0021141C" w:rsidRDefault="0021141C" w:rsidP="0021141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prostorno planiranje</w:t>
      </w:r>
    </w:p>
    <w:p w14:paraId="73FB06FB" w14:textId="77777777" w:rsidR="0021141C" w:rsidRDefault="0021141C" w:rsidP="0021141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materijalni rashodi i plaće</w:t>
      </w:r>
    </w:p>
    <w:p w14:paraId="0047B19D" w14:textId="77777777" w:rsidR="0021141C" w:rsidRDefault="0021141C" w:rsidP="0021141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dodatni standardi vezani za javne potrebe kao što su: sufinanciranje rada udruga, briga o djeci i starijima (naknade za novorođenčad, sufinanciranje prijevoza učenika, školske kuhinje, stipendiranje učenika i studenata, sufinanciranje učeničkih domova  sufinanciranje cijene dječjeg vrtića, provođenje programa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dr.)</w:t>
      </w:r>
    </w:p>
    <w:p w14:paraId="59759333" w14:textId="77777777" w:rsidR="0021141C" w:rsidRDefault="0021141C" w:rsidP="0021141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putem željeli bismo Vas upoznati sa proračunom za 2025. godinu i projekcijom za naredne dvije godine. Napominjemo prije svega da će bez obzira na cjelokupnu situaciju Općina Novi Golubovec i u narednim godinama nastojati zadržati, ako ne i povećati obim sadašnjeg financiranja javnih potreba (financiranje rada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sufinanciranje dječjih vrtića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čuvaonica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stipendiranje učenika i studenata,  naknade za novorođene bebe i ogrjeva, sufinanciranje školske kuhinje za djecu slabijeg imovinskog stanja, sufinanciranje cijene prijevoza učenika osnovne i srednjih škola, sufinanciranje smještaja učenika u učeničkim domovima), sufinanciranje rada svih udruga s našeg područja. Nadalje ćemo u skladu s mogućnostima voditi brigu o tekućem i investicijskom održavanju opreme, objekata i komunalnih građevina, brinuti o urednosti okoliša i krajolika. </w:t>
      </w:r>
    </w:p>
    <w:p w14:paraId="0E9CEA17" w14:textId="77777777" w:rsidR="0021141C" w:rsidRDefault="0021141C" w:rsidP="002114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CD3F0F" w14:textId="77777777" w:rsidR="0021141C" w:rsidRDefault="0021141C" w:rsidP="0021141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nastavku je prezentacija prijedloga plana proračuna za 2026. godinu i projekcija za naredne dvije godine. </w:t>
      </w:r>
    </w:p>
    <w:p w14:paraId="6F409BCC" w14:textId="77777777" w:rsidR="009B540E" w:rsidRDefault="009B540E" w:rsidP="0021141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B3AEFD" w14:textId="77777777" w:rsidR="009B540E" w:rsidRDefault="009B540E" w:rsidP="0021141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page" w:tblpX="10126" w:tblpY="302"/>
        <w:tblW w:w="5810" w:type="dxa"/>
        <w:tblLook w:val="04A0" w:firstRow="1" w:lastRow="0" w:firstColumn="1" w:lastColumn="0" w:noHBand="0" w:noVBand="1"/>
      </w:tblPr>
      <w:tblGrid>
        <w:gridCol w:w="4480"/>
        <w:gridCol w:w="1330"/>
      </w:tblGrid>
      <w:tr w:rsidR="00860976" w:rsidRPr="00860976" w14:paraId="61EBE0E1" w14:textId="77777777" w:rsidTr="00860976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D7D41" w14:textId="3BFB885F" w:rsidR="00860976" w:rsidRPr="00860976" w:rsidRDefault="00860976" w:rsidP="0086097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860976">
              <w:rPr>
                <w:rFonts w:eastAsia="Times New Roman"/>
                <w:color w:val="000000"/>
                <w:lang w:eastAsia="hr-HR"/>
              </w:rPr>
              <w:lastRenderedPageBreak/>
              <w:t>6.1. PRIHODI OD POREZA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ADA77" w14:textId="77777777" w:rsidR="00860976" w:rsidRPr="00860976" w:rsidRDefault="00860976" w:rsidP="0086097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860976">
              <w:rPr>
                <w:rFonts w:eastAsia="Times New Roman"/>
                <w:color w:val="000000"/>
                <w:lang w:eastAsia="hr-HR"/>
              </w:rPr>
              <w:t>791.400,00</w:t>
            </w:r>
            <w:r>
              <w:rPr>
                <w:rFonts w:eastAsia="Times New Roman"/>
                <w:color w:val="000000"/>
                <w:lang w:eastAsia="hr-HR"/>
              </w:rPr>
              <w:t xml:space="preserve">€ </w:t>
            </w:r>
          </w:p>
        </w:tc>
      </w:tr>
      <w:tr w:rsidR="00860976" w:rsidRPr="00860976" w14:paraId="50591D64" w14:textId="77777777" w:rsidTr="00860976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F1193" w14:textId="2DE48AB6" w:rsidR="00860976" w:rsidRPr="00860976" w:rsidRDefault="00860976" w:rsidP="0086097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860976">
              <w:rPr>
                <w:rFonts w:eastAsia="Times New Roman"/>
                <w:color w:val="000000"/>
                <w:lang w:eastAsia="hr-HR"/>
              </w:rPr>
              <w:t xml:space="preserve">6.3 POMOĆI IZ PRORAČUNA I EU FONDOVA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1F538" w14:textId="77777777" w:rsidR="00860976" w:rsidRPr="00860976" w:rsidRDefault="00860976" w:rsidP="0086097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860976">
              <w:rPr>
                <w:rFonts w:eastAsia="Times New Roman"/>
                <w:color w:val="000000"/>
                <w:lang w:eastAsia="hr-HR"/>
              </w:rPr>
              <w:t>341.000,00</w:t>
            </w:r>
            <w:r>
              <w:rPr>
                <w:rFonts w:eastAsia="Times New Roman"/>
                <w:color w:val="000000"/>
                <w:lang w:eastAsia="hr-HR"/>
              </w:rPr>
              <w:t>€</w:t>
            </w:r>
          </w:p>
        </w:tc>
      </w:tr>
      <w:tr w:rsidR="00860976" w:rsidRPr="00860976" w14:paraId="1993E413" w14:textId="77777777" w:rsidTr="00860976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95A13" w14:textId="4AAB8DE7" w:rsidR="00860976" w:rsidRPr="00860976" w:rsidRDefault="00860976" w:rsidP="0086097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860976">
              <w:rPr>
                <w:rFonts w:eastAsia="Times New Roman"/>
                <w:color w:val="000000"/>
                <w:lang w:eastAsia="hr-HR"/>
              </w:rPr>
              <w:t xml:space="preserve">6.4. PRIHODI OD IMOVINE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14F17" w14:textId="77777777" w:rsidR="00860976" w:rsidRPr="00860976" w:rsidRDefault="00860976" w:rsidP="0086097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860976">
              <w:rPr>
                <w:rFonts w:eastAsia="Times New Roman"/>
                <w:color w:val="000000"/>
                <w:lang w:eastAsia="hr-HR"/>
              </w:rPr>
              <w:t>736.650,00</w:t>
            </w:r>
            <w:r>
              <w:rPr>
                <w:rFonts w:eastAsia="Times New Roman"/>
                <w:color w:val="000000"/>
                <w:lang w:eastAsia="hr-HR"/>
              </w:rPr>
              <w:t>€</w:t>
            </w:r>
          </w:p>
        </w:tc>
      </w:tr>
      <w:tr w:rsidR="00860976" w:rsidRPr="00860976" w14:paraId="79BCDE2C" w14:textId="77777777" w:rsidTr="00860976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161A7" w14:textId="33DF4FB2" w:rsidR="00860976" w:rsidRPr="00860976" w:rsidRDefault="00860976" w:rsidP="0086097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860976">
              <w:rPr>
                <w:rFonts w:eastAsia="Times New Roman"/>
                <w:color w:val="000000"/>
                <w:lang w:eastAsia="hr-HR"/>
              </w:rPr>
              <w:t xml:space="preserve">6.5. PRIHODI OD PRODAJE ROBA I USLUGA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C18B7" w14:textId="39C1DEA5" w:rsidR="00860976" w:rsidRPr="00860976" w:rsidRDefault="00860976" w:rsidP="0086097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860976">
              <w:rPr>
                <w:rFonts w:eastAsia="Times New Roman"/>
                <w:color w:val="000000"/>
                <w:lang w:eastAsia="hr-HR"/>
              </w:rPr>
              <w:t>123.950,00</w:t>
            </w:r>
            <w:r>
              <w:rPr>
                <w:rFonts w:eastAsia="Times New Roman"/>
                <w:color w:val="000000"/>
                <w:lang w:eastAsia="hr-HR"/>
              </w:rPr>
              <w:t>€</w:t>
            </w:r>
          </w:p>
        </w:tc>
      </w:tr>
      <w:tr w:rsidR="00860976" w:rsidRPr="00860976" w14:paraId="4C44BC16" w14:textId="77777777" w:rsidTr="00860976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438F1" w14:textId="33E5CABD" w:rsidR="00860976" w:rsidRPr="00860976" w:rsidRDefault="00860976" w:rsidP="0086097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860976">
              <w:rPr>
                <w:rFonts w:eastAsia="Times New Roman"/>
                <w:color w:val="000000"/>
                <w:lang w:eastAsia="hr-HR"/>
              </w:rPr>
              <w:t>7.1. PRIMICI OD PRODAJE KAPITALNE IMOVINE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9523E" w14:textId="77777777" w:rsidR="00860976" w:rsidRPr="00860976" w:rsidRDefault="00860976" w:rsidP="00860976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860976">
              <w:rPr>
                <w:rFonts w:eastAsia="Times New Roman"/>
                <w:color w:val="000000"/>
                <w:lang w:eastAsia="hr-HR"/>
              </w:rPr>
              <w:t>7.000,00</w:t>
            </w:r>
            <w:r>
              <w:rPr>
                <w:rFonts w:eastAsia="Times New Roman"/>
                <w:color w:val="000000"/>
                <w:lang w:eastAsia="hr-HR"/>
              </w:rPr>
              <w:t xml:space="preserve"> €</w:t>
            </w:r>
          </w:p>
        </w:tc>
      </w:tr>
    </w:tbl>
    <w:p w14:paraId="42BE0CE2" w14:textId="53D5D291" w:rsidR="009B540E" w:rsidRDefault="009B540E" w:rsidP="0021141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5A47BA6" wp14:editId="5A91D05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486400" cy="4714875"/>
            <wp:effectExtent l="38100" t="0" r="38100" b="9525"/>
            <wp:wrapSquare wrapText="bothSides"/>
            <wp:docPr id="1834883285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9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14:paraId="40F8FFF6" w14:textId="2EA5E381" w:rsidR="0021141C" w:rsidRDefault="0021141C" w:rsidP="0021141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2A92E4" w14:textId="77777777" w:rsidR="00843A28" w:rsidRDefault="00843A28" w:rsidP="0021141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page" w:tblpX="10456" w:tblpY="586"/>
        <w:tblW w:w="6122" w:type="dxa"/>
        <w:tblLook w:val="04A0" w:firstRow="1" w:lastRow="0" w:firstColumn="1" w:lastColumn="0" w:noHBand="0" w:noVBand="1"/>
      </w:tblPr>
      <w:tblGrid>
        <w:gridCol w:w="2424"/>
        <w:gridCol w:w="3698"/>
      </w:tblGrid>
      <w:tr w:rsidR="00843A28" w:rsidRPr="00843A28" w14:paraId="61588E1C" w14:textId="77777777" w:rsidTr="00843A28">
        <w:trPr>
          <w:trHeight w:val="29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79D54" w14:textId="77777777" w:rsidR="00843A28" w:rsidRPr="00843A28" w:rsidRDefault="00843A28" w:rsidP="00843A2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843A28">
              <w:rPr>
                <w:rFonts w:eastAsia="Times New Roman"/>
                <w:color w:val="000000"/>
                <w:lang w:eastAsia="hr-HR"/>
              </w:rPr>
              <w:lastRenderedPageBreak/>
              <w:t xml:space="preserve">3.1  RASHODI ZA ZAPOSLENE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B9BE6" w14:textId="375238A1" w:rsidR="00843A28" w:rsidRPr="00843A28" w:rsidRDefault="00843A28" w:rsidP="00843A28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843A28">
              <w:rPr>
                <w:rFonts w:eastAsia="Times New Roman"/>
                <w:color w:val="000000"/>
                <w:lang w:eastAsia="hr-HR"/>
              </w:rPr>
              <w:t>150.200,00</w:t>
            </w:r>
            <w:r>
              <w:rPr>
                <w:rFonts w:eastAsia="Times New Roman"/>
                <w:color w:val="000000"/>
                <w:lang w:eastAsia="hr-HR"/>
              </w:rPr>
              <w:t>€</w:t>
            </w:r>
          </w:p>
        </w:tc>
      </w:tr>
      <w:tr w:rsidR="00843A28" w:rsidRPr="00843A28" w14:paraId="44B9D419" w14:textId="77777777" w:rsidTr="00843A28">
        <w:trPr>
          <w:trHeight w:val="29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0B3EC" w14:textId="77777777" w:rsidR="00843A28" w:rsidRPr="00843A28" w:rsidRDefault="00843A28" w:rsidP="00843A2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843A28">
              <w:rPr>
                <w:rFonts w:eastAsia="Times New Roman"/>
                <w:color w:val="000000"/>
                <w:lang w:eastAsia="hr-HR"/>
              </w:rPr>
              <w:t xml:space="preserve">3.2. MATERIJALNI RASHODI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31FDA" w14:textId="68533F71" w:rsidR="00843A28" w:rsidRPr="00843A28" w:rsidRDefault="00843A28" w:rsidP="00843A28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843A28">
              <w:rPr>
                <w:rFonts w:eastAsia="Times New Roman"/>
                <w:color w:val="000000"/>
                <w:lang w:eastAsia="hr-HR"/>
              </w:rPr>
              <w:t>252.700,00</w:t>
            </w:r>
            <w:r>
              <w:rPr>
                <w:rFonts w:eastAsia="Times New Roman"/>
                <w:color w:val="000000"/>
                <w:lang w:eastAsia="hr-HR"/>
              </w:rPr>
              <w:t>€</w:t>
            </w:r>
          </w:p>
        </w:tc>
      </w:tr>
      <w:tr w:rsidR="00843A28" w:rsidRPr="00843A28" w14:paraId="307E9C6C" w14:textId="77777777" w:rsidTr="00843A28">
        <w:trPr>
          <w:trHeight w:val="29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A9E1F" w14:textId="77777777" w:rsidR="00843A28" w:rsidRPr="00843A28" w:rsidRDefault="00843A28" w:rsidP="00843A2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843A28">
              <w:rPr>
                <w:rFonts w:eastAsia="Times New Roman"/>
                <w:color w:val="000000"/>
                <w:lang w:eastAsia="hr-HR"/>
              </w:rPr>
              <w:t xml:space="preserve">3.4 FINANCIJSKI RASHODI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0D956" w14:textId="5CB5D2C7" w:rsidR="00843A28" w:rsidRPr="00843A28" w:rsidRDefault="00843A28" w:rsidP="00843A28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843A28">
              <w:rPr>
                <w:rFonts w:eastAsia="Times New Roman"/>
                <w:color w:val="000000"/>
                <w:lang w:eastAsia="hr-HR"/>
              </w:rPr>
              <w:t>3.500,00</w:t>
            </w:r>
            <w:r>
              <w:rPr>
                <w:rFonts w:eastAsia="Times New Roman"/>
                <w:color w:val="000000"/>
                <w:lang w:eastAsia="hr-HR"/>
              </w:rPr>
              <w:t>€</w:t>
            </w:r>
          </w:p>
        </w:tc>
      </w:tr>
      <w:tr w:rsidR="00843A28" w:rsidRPr="00843A28" w14:paraId="5538B9FE" w14:textId="77777777" w:rsidTr="00843A28">
        <w:trPr>
          <w:trHeight w:val="29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3AF75" w14:textId="77777777" w:rsidR="00843A28" w:rsidRPr="00843A28" w:rsidRDefault="00843A28" w:rsidP="00843A2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843A28">
              <w:rPr>
                <w:rFonts w:eastAsia="Times New Roman"/>
                <w:color w:val="000000"/>
                <w:lang w:eastAsia="hr-HR"/>
              </w:rPr>
              <w:t>3.6 DANE POMOĆI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ED546" w14:textId="4663F861" w:rsidR="00843A28" w:rsidRPr="00843A28" w:rsidRDefault="00843A28" w:rsidP="00843A28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843A28">
              <w:rPr>
                <w:rFonts w:eastAsia="Times New Roman"/>
                <w:color w:val="000000"/>
                <w:lang w:eastAsia="hr-HR"/>
              </w:rPr>
              <w:t>15.500,00</w:t>
            </w:r>
            <w:r>
              <w:rPr>
                <w:rFonts w:eastAsia="Times New Roman"/>
                <w:color w:val="000000"/>
                <w:lang w:eastAsia="hr-HR"/>
              </w:rPr>
              <w:t>€</w:t>
            </w:r>
          </w:p>
        </w:tc>
      </w:tr>
      <w:tr w:rsidR="00843A28" w:rsidRPr="00843A28" w14:paraId="38F8F19D" w14:textId="77777777" w:rsidTr="00843A28">
        <w:trPr>
          <w:trHeight w:val="591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41DC3" w14:textId="77777777" w:rsidR="00843A28" w:rsidRPr="00843A28" w:rsidRDefault="00843A28" w:rsidP="00843A2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843A28">
              <w:rPr>
                <w:rFonts w:eastAsia="Times New Roman"/>
                <w:color w:val="000000"/>
                <w:lang w:eastAsia="hr-HR"/>
              </w:rPr>
              <w:t xml:space="preserve">3. 7.  NAKNADE GRAĐANIMA I KUĆANSTVIMA IZ PRORAČUNA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AF89" w14:textId="043C8426" w:rsidR="00843A28" w:rsidRPr="00843A28" w:rsidRDefault="00843A28" w:rsidP="00843A28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843A28">
              <w:rPr>
                <w:rFonts w:eastAsia="Times New Roman"/>
                <w:color w:val="000000"/>
                <w:lang w:eastAsia="hr-HR"/>
              </w:rPr>
              <w:t>208.500,00</w:t>
            </w:r>
            <w:r>
              <w:rPr>
                <w:rFonts w:eastAsia="Times New Roman"/>
                <w:color w:val="000000"/>
                <w:lang w:eastAsia="hr-HR"/>
              </w:rPr>
              <w:t>€</w:t>
            </w:r>
          </w:p>
        </w:tc>
      </w:tr>
      <w:tr w:rsidR="00843A28" w:rsidRPr="00843A28" w14:paraId="5ACB5A89" w14:textId="77777777" w:rsidTr="00843A28">
        <w:trPr>
          <w:trHeight w:val="29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59DB84" w14:textId="77777777" w:rsidR="00843A28" w:rsidRPr="00843A28" w:rsidRDefault="00843A28" w:rsidP="00843A2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843A28">
              <w:rPr>
                <w:rFonts w:eastAsia="Times New Roman"/>
                <w:color w:val="000000"/>
                <w:lang w:eastAsia="hr-HR"/>
              </w:rPr>
              <w:t xml:space="preserve">3.8 DONACIJE I OSTALI RASHODI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73BBC" w14:textId="20A6504B" w:rsidR="00843A28" w:rsidRPr="00843A28" w:rsidRDefault="00843A28" w:rsidP="00843A28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843A28">
              <w:rPr>
                <w:rFonts w:eastAsia="Times New Roman"/>
                <w:color w:val="000000"/>
                <w:lang w:eastAsia="hr-HR"/>
              </w:rPr>
              <w:t>173.600,00</w:t>
            </w:r>
            <w:r>
              <w:rPr>
                <w:rFonts w:eastAsia="Times New Roman"/>
                <w:color w:val="000000"/>
                <w:lang w:eastAsia="hr-HR"/>
              </w:rPr>
              <w:t>€</w:t>
            </w:r>
          </w:p>
        </w:tc>
      </w:tr>
      <w:tr w:rsidR="00843A28" w:rsidRPr="00843A28" w14:paraId="2CAFA54E" w14:textId="77777777" w:rsidTr="00843A28">
        <w:trPr>
          <w:trHeight w:val="295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D1F4C" w14:textId="77777777" w:rsidR="00843A28" w:rsidRPr="00843A28" w:rsidRDefault="00843A28" w:rsidP="00843A28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843A28">
              <w:rPr>
                <w:rFonts w:eastAsia="Times New Roman"/>
                <w:color w:val="000000"/>
                <w:lang w:eastAsia="hr-HR"/>
              </w:rPr>
              <w:t xml:space="preserve">4.2. RASHODI ZA DUGOTRAJNU IMOVINU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6852A" w14:textId="27630059" w:rsidR="00843A28" w:rsidRPr="00843A28" w:rsidRDefault="00843A28" w:rsidP="00843A28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843A28">
              <w:rPr>
                <w:rFonts w:eastAsia="Times New Roman"/>
                <w:color w:val="000000"/>
                <w:lang w:eastAsia="hr-HR"/>
              </w:rPr>
              <w:t>1.149.000,00</w:t>
            </w:r>
            <w:r>
              <w:rPr>
                <w:rFonts w:eastAsia="Times New Roman"/>
                <w:color w:val="000000"/>
                <w:lang w:eastAsia="hr-HR"/>
              </w:rPr>
              <w:t>€</w:t>
            </w:r>
          </w:p>
        </w:tc>
      </w:tr>
    </w:tbl>
    <w:p w14:paraId="208E8972" w14:textId="2FD01CA9" w:rsidR="00F852D3" w:rsidRDefault="00FF3980">
      <w:r>
        <w:rPr>
          <w:noProof/>
          <w14:ligatures w14:val="standardContextual"/>
        </w:rPr>
        <w:drawing>
          <wp:inline distT="0" distB="0" distL="0" distR="0" wp14:anchorId="1B7C57DE" wp14:editId="14F17FCC">
            <wp:extent cx="5486400" cy="4143375"/>
            <wp:effectExtent l="0" t="0" r="0" b="9525"/>
            <wp:docPr id="727389271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EA825B" w14:textId="77777777" w:rsidR="00843A28" w:rsidRDefault="00843A28"/>
    <w:p w14:paraId="4146EE24" w14:textId="77777777" w:rsidR="00843A28" w:rsidRDefault="00843A28"/>
    <w:p w14:paraId="1E777EAF" w14:textId="7FD2B2A2" w:rsidR="004B66C4" w:rsidRDefault="004B66C4">
      <w:r w:rsidRPr="004B66C4">
        <w:t>Projekcije proračuna Općine Novi Golubovec za 2027. i 2028. godinu izrađene su s ciljem osiguranja stabilnog financijskog poslovanja te stvaranja preduvjeta za daljnji gospodarski i društveni razvoj općine. Temelje se na analizi dosadašnjih trendova prihoda i rashoda, planiranim investicijama te očekivanim kretanjima na državnoj i lokalnoj razini. Poseban naglasak stavljen je na racionalno upravljanje javnim sredstvima, povećanje učinkovitosti trošenja proračunskih sredstava i nastavak ulaganja u infrastrukturne, obrazovne i društvene projekte od značaja za lokalnu zajednicu.</w:t>
      </w:r>
    </w:p>
    <w:p w14:paraId="0E00B44B" w14:textId="1E7B8279" w:rsidR="004B66C4" w:rsidRDefault="00330FBE">
      <w:r>
        <w:rPr>
          <w:noProof/>
          <w14:ligatures w14:val="standardContextual"/>
        </w:rPr>
        <w:lastRenderedPageBreak/>
        <w:drawing>
          <wp:inline distT="0" distB="0" distL="0" distR="0" wp14:anchorId="3F9195A0" wp14:editId="5FAF10DF">
            <wp:extent cx="8820150" cy="5734050"/>
            <wp:effectExtent l="0" t="0" r="0" b="0"/>
            <wp:docPr id="1376691445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17A2C" w14:textId="05308C84" w:rsidR="004B66C4" w:rsidRDefault="00330FBE">
      <w:r>
        <w:rPr>
          <w:noProof/>
        </w:rPr>
        <w:lastRenderedPageBreak/>
        <w:drawing>
          <wp:inline distT="0" distB="0" distL="0" distR="0" wp14:anchorId="4178D634" wp14:editId="1AB65387">
            <wp:extent cx="8486775" cy="5724525"/>
            <wp:effectExtent l="0" t="0" r="9525" b="9525"/>
            <wp:docPr id="432966162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2CC48" w14:textId="6D9C2CAB" w:rsidR="00330FBE" w:rsidRPr="009051CD" w:rsidRDefault="00330FBE" w:rsidP="00330FBE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Za sva pitanja, prijedloge, sugestije i suradnju stoji na raspolaganju: općinsko vijeće, općinski načelnik, i Jedinstveni upravni odjel. Pozivamo sve predstavnike zainteresirane javnosti da najkasnije do </w:t>
      </w:r>
      <w:r w:rsidR="000272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studenog. 2025. godine do 12,00 sati dostave svoje prijedloge i komentare na predloženi Nacrt,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putem obrasca za javno savjetovanje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mail: </w:t>
      </w:r>
      <w:hyperlink r:id="rId11" w:history="1">
        <w:r w:rsidRPr="00E232B3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opcina-novi-golubovec@kr.t-com.hr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putem pošte na adresu Općine Novi Golubovec, ili osobno.</w:t>
      </w:r>
    </w:p>
    <w:p w14:paraId="284995C1" w14:textId="77777777" w:rsidR="00330FBE" w:rsidRDefault="00330FBE"/>
    <w:p w14:paraId="1FBFC35C" w14:textId="77777777" w:rsidR="000272B1" w:rsidRDefault="000272B1"/>
    <w:sectPr w:rsidR="000272B1" w:rsidSect="002114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hr-HR"/>
      </w:rPr>
    </w:lvl>
  </w:abstractNum>
  <w:num w:numId="1" w16cid:durableId="179675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1C"/>
    <w:rsid w:val="000272B1"/>
    <w:rsid w:val="00085A80"/>
    <w:rsid w:val="000B4C6E"/>
    <w:rsid w:val="001C7218"/>
    <w:rsid w:val="0021141C"/>
    <w:rsid w:val="00330FBE"/>
    <w:rsid w:val="004B66C4"/>
    <w:rsid w:val="00605559"/>
    <w:rsid w:val="00843A28"/>
    <w:rsid w:val="00860976"/>
    <w:rsid w:val="009B540E"/>
    <w:rsid w:val="009E3F70"/>
    <w:rsid w:val="00D97305"/>
    <w:rsid w:val="00E024DA"/>
    <w:rsid w:val="00F239D1"/>
    <w:rsid w:val="00F852D3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969A"/>
  <w15:chartTrackingRefBased/>
  <w15:docId w15:val="{82788668-0F40-445E-A4C4-50DE3A4C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41C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11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1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14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1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14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1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1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1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1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1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1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14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141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141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14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14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14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14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1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11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1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1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1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114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14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1141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1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141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141C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qFormat/>
    <w:rsid w:val="0021141C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styleId="Hiperveza">
    <w:name w:val="Hyperlink"/>
    <w:uiPriority w:val="99"/>
    <w:unhideWhenUsed/>
    <w:rsid w:val="002114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i-golubovec.hr" TargetMode="External"/><Relationship Id="rId11" Type="http://schemas.openxmlformats.org/officeDocument/2006/relationships/hyperlink" Target="mailto:opcina-novi-golubovec@kr.t-com.hr" TargetMode="External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PRORAČUNA ZA 2026 IZNOSE 2.000.000,00 EURA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809-40C9-B490-012AE395892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809-40C9-B490-012AE395892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809-40C9-B490-012AE395892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A75-4F43-A21E-1FC7A6A05AF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809-40C9-B490-012AE3958921}"/>
              </c:ext>
            </c:extLst>
          </c:dPt>
          <c:dLbls>
            <c:dLbl>
              <c:idx val="3"/>
              <c:layout>
                <c:manualLayout>
                  <c:x val="3.0388961796442113E-2"/>
                  <c:y val="0.1009648793900762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75-4F43-A21E-1FC7A6A05A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6.1. PRIHODI OD POREZA</c:v>
                </c:pt>
                <c:pt idx="1">
                  <c:v>6.3 POMOĆI IZ PRORAČUNA I EU FONDOVA </c:v>
                </c:pt>
                <c:pt idx="2">
                  <c:v>6.4. PRIHODI OD IMOVINE </c:v>
                </c:pt>
                <c:pt idx="3">
                  <c:v>6.5. PRIHODI OD PRODAJE ROBA I USLUGA </c:v>
                </c:pt>
                <c:pt idx="4">
                  <c:v>7.1. PRIMICI OD PRODAJE KAPITALNE IMOVINE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>
                  <c:v>791400</c:v>
                </c:pt>
                <c:pt idx="1">
                  <c:v>341000</c:v>
                </c:pt>
                <c:pt idx="2">
                  <c:v>736650</c:v>
                </c:pt>
                <c:pt idx="3">
                  <c:v>123950</c:v>
                </c:pt>
                <c:pt idx="4">
                  <c:v>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5-4F43-A21E-1FC7A6A05AF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PRORAČUNA ZA 2026 IZNOSE 2.000.000,00 EURA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7A3-4258-8D24-D025496DA3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7A3-4258-8D24-D025496DA3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7A3-4258-8D24-D025496DA3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7A3-4258-8D24-D025496DA3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F1B-499A-966D-F46BAD43BAE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27A3-4258-8D24-D025496DA3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27A3-4258-8D24-D025496DA3B8}"/>
              </c:ext>
            </c:extLst>
          </c:dPt>
          <c:dLbls>
            <c:dLbl>
              <c:idx val="4"/>
              <c:layout>
                <c:manualLayout>
                  <c:x val="-0.14818806503353749"/>
                  <c:y val="-6.208368781488520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1B-499A-966D-F46BAD43BAEA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3.1  RASHODI ZA ZAPOSLENE </c:v>
                </c:pt>
                <c:pt idx="1">
                  <c:v>3.2. MATERIJALNI RASHODI </c:v>
                </c:pt>
                <c:pt idx="2">
                  <c:v>3.4 FINANCIJSKI RASHODI </c:v>
                </c:pt>
                <c:pt idx="3">
                  <c:v>3.6 DANE POMOĆI</c:v>
                </c:pt>
                <c:pt idx="4">
                  <c:v>3. 7.  NAKNADE GRAĐANIMA I KUĆANSTVIMA IZ PRORAČUNA </c:v>
                </c:pt>
                <c:pt idx="5">
                  <c:v>3.8 DONACIJE I OSTALI RASHODI </c:v>
                </c:pt>
                <c:pt idx="6">
                  <c:v>4.2. RASHODI ZA DUGOTRAJNU IMOVINU 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>
                  <c:v>150200</c:v>
                </c:pt>
                <c:pt idx="1">
                  <c:v>252700</c:v>
                </c:pt>
                <c:pt idx="2">
                  <c:v>3500</c:v>
                </c:pt>
                <c:pt idx="3">
                  <c:v>15500</c:v>
                </c:pt>
                <c:pt idx="4">
                  <c:v>208500</c:v>
                </c:pt>
                <c:pt idx="5">
                  <c:v>173600</c:v>
                </c:pt>
                <c:pt idx="6">
                  <c:v>1149000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1B-499A-966D-F46BAD43BAE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risek</dc:creator>
  <cp:keywords/>
  <dc:description/>
  <cp:lastModifiedBy>petar risek</cp:lastModifiedBy>
  <cp:revision>2</cp:revision>
  <dcterms:created xsi:type="dcterms:W3CDTF">2025-10-20T07:06:00Z</dcterms:created>
  <dcterms:modified xsi:type="dcterms:W3CDTF">2025-10-20T07:06:00Z</dcterms:modified>
</cp:coreProperties>
</file>